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eastAsia="方正小标宋简体"/>
          <w:sz w:val="44"/>
          <w:szCs w:val="44"/>
        </w:rPr>
      </w:pPr>
      <w:r>
        <w:rPr>
          <w:rFonts w:eastAsia="仿宋_GB2312"/>
          <w:sz w:val="32"/>
          <w:szCs w:val="32"/>
        </w:rPr>
        <w:t xml:space="preserve">         </w:t>
      </w:r>
    </w:p>
    <w:p>
      <w:pPr>
        <w:spacing w:line="576" w:lineRule="exact"/>
        <w:rPr>
          <w:sz w:val="32"/>
          <w:szCs w:val="32"/>
        </w:rPr>
      </w:pPr>
    </w:p>
    <w:p>
      <w:pPr>
        <w:keepNext w:val="0"/>
        <w:keepLines w:val="0"/>
        <w:pageBreakBefore w:val="0"/>
        <w:widowControl w:val="0"/>
        <w:kinsoku/>
        <w:wordWrap/>
        <w:overflowPunct/>
        <w:topLinePunct w:val="0"/>
        <w:autoSpaceDE/>
        <w:autoSpaceDN/>
        <w:bidi w:val="0"/>
        <w:adjustRightInd/>
        <w:snapToGrid/>
        <w:spacing w:line="576" w:lineRule="exact"/>
        <w:rPr>
          <w:sz w:val="32"/>
          <w:szCs w:val="32"/>
        </w:rPr>
      </w:pPr>
    </w:p>
    <w:p>
      <w:pPr>
        <w:keepNext w:val="0"/>
        <w:keepLines w:val="0"/>
        <w:pageBreakBefore w:val="0"/>
        <w:widowControl w:val="0"/>
        <w:kinsoku/>
        <w:wordWrap/>
        <w:overflowPunct/>
        <w:topLinePunct w:val="0"/>
        <w:autoSpaceDE/>
        <w:autoSpaceDN/>
        <w:bidi w:val="0"/>
        <w:adjustRightInd/>
        <w:snapToGrid/>
        <w:spacing w:line="576" w:lineRule="exact"/>
        <w:rPr>
          <w:sz w:val="32"/>
          <w:szCs w:val="32"/>
        </w:rPr>
      </w:pPr>
    </w:p>
    <w:p>
      <w:pPr>
        <w:keepNext w:val="0"/>
        <w:keepLines w:val="0"/>
        <w:pageBreakBefore w:val="0"/>
        <w:widowControl w:val="0"/>
        <w:kinsoku/>
        <w:wordWrap/>
        <w:overflowPunct/>
        <w:topLinePunct w:val="0"/>
        <w:autoSpaceDE/>
        <w:autoSpaceDN/>
        <w:bidi w:val="0"/>
        <w:adjustRightInd/>
        <w:snapToGrid/>
        <w:spacing w:line="576" w:lineRule="exact"/>
        <w:rPr>
          <w:sz w:val="32"/>
          <w:szCs w:val="32"/>
        </w:rPr>
      </w:pPr>
    </w:p>
    <w:p>
      <w:pPr>
        <w:keepNext w:val="0"/>
        <w:keepLines w:val="0"/>
        <w:pageBreakBefore w:val="0"/>
        <w:widowControl w:val="0"/>
        <w:kinsoku/>
        <w:wordWrap/>
        <w:overflowPunct/>
        <w:topLinePunct w:val="0"/>
        <w:autoSpaceDE/>
        <w:autoSpaceDN/>
        <w:bidi w:val="0"/>
        <w:adjustRightInd/>
        <w:snapToGrid/>
        <w:spacing w:line="576" w:lineRule="exact"/>
        <w:rPr>
          <w:sz w:val="32"/>
          <w:szCs w:val="32"/>
        </w:rPr>
      </w:pPr>
    </w:p>
    <w:p>
      <w:pPr>
        <w:pStyle w:val="3"/>
        <w:rPr>
          <w:sz w:val="32"/>
          <w:szCs w:val="32"/>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9"/>
        <w:rPr>
          <w:rFonts w:eastAsia="仿宋_GB2312"/>
          <w:sz w:val="32"/>
          <w:szCs w:val="32"/>
        </w:rPr>
      </w:pPr>
      <w:r>
        <w:rPr>
          <w:rFonts w:eastAsia="仿宋_GB2312"/>
          <w:sz w:val="32"/>
          <w:szCs w:val="32"/>
        </w:rPr>
        <w:t>南市监〔</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eastAsia="仿宋_GB2312"/>
          <w:sz w:val="32"/>
          <w:szCs w:val="32"/>
        </w:rPr>
        <w:t>〕</w:t>
      </w:r>
      <w:r>
        <w:rPr>
          <w:rFonts w:hint="eastAsia" w:eastAsia="仿宋_GB2312"/>
          <w:sz w:val="32"/>
          <w:szCs w:val="32"/>
          <w:lang w:val="en-US" w:eastAsia="zh-CN"/>
        </w:rPr>
        <w:t>112</w:t>
      </w:r>
      <w:r>
        <w:rPr>
          <w:rFonts w:eastAsia="仿宋_GB2312"/>
          <w:sz w:val="32"/>
          <w:szCs w:val="32"/>
        </w:rPr>
        <w:t>号</w:t>
      </w:r>
    </w:p>
    <w:p>
      <w:pPr>
        <w:pStyle w:val="3"/>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textAlignment w:val="auto"/>
        <w:outlineLvl w:val="9"/>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9"/>
        <w:rPr>
          <w:rFonts w:hint="eastAsia" w:ascii="方正小标宋简体" w:hAnsi="方正小标宋简体" w:eastAsia="方正小标宋简体" w:cs="方正小标宋简体"/>
          <w:b/>
          <w:bCs/>
          <w:sz w:val="44"/>
          <w:szCs w:val="44"/>
        </w:rPr>
      </w:pPr>
      <w:bookmarkStart w:id="0" w:name="_GoBack"/>
      <w:r>
        <w:rPr>
          <w:rFonts w:hint="eastAsia" w:ascii="方正小标宋简体" w:hAnsi="方正小标宋简体" w:eastAsia="方正小标宋简体" w:cs="方正小标宋简体"/>
          <w:b/>
          <w:bCs/>
          <w:sz w:val="44"/>
          <w:szCs w:val="44"/>
        </w:rPr>
        <w:t>关于印发《2022年度</w:t>
      </w:r>
      <w:r>
        <w:rPr>
          <w:rFonts w:hint="eastAsia" w:ascii="方正小标宋简体" w:hAnsi="方正小标宋简体" w:eastAsia="方正小标宋简体" w:cs="方正小标宋简体"/>
          <w:b/>
          <w:bCs/>
          <w:sz w:val="44"/>
          <w:szCs w:val="44"/>
          <w:lang w:eastAsia="zh-CN"/>
        </w:rPr>
        <w:t>海南州</w:t>
      </w:r>
      <w:r>
        <w:rPr>
          <w:rFonts w:hint="eastAsia" w:ascii="方正小标宋简体" w:hAnsi="方正小标宋简体" w:eastAsia="方正小标宋简体" w:cs="方正小标宋简体"/>
          <w:b/>
          <w:bCs/>
          <w:sz w:val="44"/>
          <w:szCs w:val="44"/>
        </w:rPr>
        <w:t>市场监管领域部门</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9"/>
        <w:rPr>
          <w:rFonts w:hint="eastAsia" w:ascii="方正小标宋简体" w:hAnsi="方正小标宋简体" w:eastAsia="方正小标宋简体" w:cs="方正小标宋简体"/>
          <w:b/>
          <w:bCs/>
          <w:spacing w:val="-17"/>
          <w:sz w:val="36"/>
          <w:szCs w:val="36"/>
        </w:rPr>
      </w:pPr>
      <w:r>
        <w:rPr>
          <w:rFonts w:hint="eastAsia" w:ascii="方正小标宋简体" w:hAnsi="方正小标宋简体" w:eastAsia="方正小标宋简体" w:cs="方正小标宋简体"/>
          <w:b/>
          <w:bCs/>
          <w:spacing w:val="-17"/>
          <w:sz w:val="44"/>
          <w:szCs w:val="44"/>
        </w:rPr>
        <w:t>联合“双随机、一公开”抽查计划》的通知</w:t>
      </w:r>
    </w:p>
    <w:bookmarkEnd w:id="0"/>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各县人民政府，州</w:t>
      </w:r>
      <w:r>
        <w:rPr>
          <w:rFonts w:hint="eastAsia" w:ascii="仿宋_GB2312" w:hAnsi="仿宋_GB2312" w:eastAsia="仿宋_GB2312" w:cs="仿宋_GB2312"/>
          <w:sz w:val="32"/>
          <w:szCs w:val="32"/>
        </w:rPr>
        <w:t>市场监管领域部门联合“双随机、一公开”</w:t>
      </w:r>
      <w:r>
        <w:rPr>
          <w:rFonts w:hint="eastAsia" w:ascii="仿宋_GB2312" w:hAnsi="仿宋_GB2312" w:eastAsia="仿宋_GB2312" w:cs="仿宋_GB2312"/>
          <w:sz w:val="32"/>
          <w:szCs w:val="32"/>
          <w:lang w:eastAsia="zh-CN"/>
        </w:rPr>
        <w:t>监管</w:t>
      </w:r>
      <w:r>
        <w:rPr>
          <w:rFonts w:hint="eastAsia" w:ascii="仿宋_GB2312" w:hAnsi="仿宋_GB2312" w:eastAsia="仿宋_GB2312" w:cs="仿宋_GB2312"/>
          <w:sz w:val="32"/>
          <w:szCs w:val="32"/>
        </w:rPr>
        <w:t>联席会议各成员单位：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rPr>
        <w:t>为深入推进市场监管领域部门联合监管，</w:t>
      </w:r>
      <w:r>
        <w:rPr>
          <w:rFonts w:hint="eastAsia" w:ascii="仿宋_GB2312" w:hAnsi="仿宋_GB2312" w:eastAsia="仿宋_GB2312" w:cs="仿宋_GB2312"/>
          <w:sz w:val="32"/>
          <w:szCs w:val="32"/>
          <w:lang w:val="en-US" w:eastAsia="zh-CN"/>
        </w:rPr>
        <w:t>贯彻落实《国务院关于在市场监管领域全面推行部门联合“双随机、一公开”监管的意见》和省州“双随机、一公开”领导小组办公室关于双随机工作部署要求，</w:t>
      </w:r>
      <w:r>
        <w:rPr>
          <w:rFonts w:hint="eastAsia" w:ascii="仿宋_GB2312" w:hAnsi="仿宋_GB2312" w:eastAsia="仿宋_GB2312" w:cs="仿宋_GB2312"/>
          <w:sz w:val="32"/>
          <w:szCs w:val="32"/>
          <w:lang w:eastAsia="zh-CN"/>
        </w:rPr>
        <w:t>按照海南州实际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梳理制定了《202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年度</w:t>
      </w:r>
      <w:r>
        <w:rPr>
          <w:rFonts w:hint="default" w:ascii="Times New Roman" w:hAnsi="Times New Roman" w:eastAsia="仿宋_GB2312" w:cs="Times New Roman"/>
          <w:sz w:val="32"/>
          <w:szCs w:val="32"/>
          <w:lang w:eastAsia="zh-CN"/>
        </w:rPr>
        <w:t>海南州</w:t>
      </w:r>
      <w:r>
        <w:rPr>
          <w:rFonts w:hint="default" w:ascii="Times New Roman" w:hAnsi="Times New Roman" w:eastAsia="仿宋_GB2312" w:cs="Times New Roman"/>
          <w:sz w:val="32"/>
          <w:szCs w:val="32"/>
        </w:rPr>
        <w:t>市场监管领域部门联合“双随机、一公开”抽查计划》，现印发给你们，请</w:t>
      </w:r>
      <w:r>
        <w:rPr>
          <w:rFonts w:hint="default" w:ascii="Times New Roman" w:hAnsi="Times New Roman" w:eastAsia="仿宋_GB2312" w:cs="Times New Roman"/>
          <w:sz w:val="32"/>
          <w:szCs w:val="32"/>
          <w:lang w:eastAsia="zh-CN"/>
        </w:rPr>
        <w:t>按以下要求认真组织实施</w:t>
      </w:r>
      <w:r>
        <w:rPr>
          <w:rFonts w:hint="default" w:ascii="Times New Roman" w:hAnsi="Times New Roman" w:eastAsia="仿宋_GB2312" w:cs="Times New Roman"/>
          <w:sz w:val="32"/>
          <w:szCs w:val="32"/>
        </w:rPr>
        <w:t>：</w:t>
      </w:r>
    </w:p>
    <w:p>
      <w:pPr>
        <w:keepNext w:val="0"/>
        <w:keepLines w:val="0"/>
        <w:pageBreakBefore w:val="0"/>
        <w:widowControl w:val="0"/>
        <w:numPr>
          <w:numId w:val="0"/>
        </w:numPr>
        <w:kinsoku/>
        <w:wordWrap/>
        <w:overflowPunct/>
        <w:topLinePunct w:val="0"/>
        <w:autoSpaceDE/>
        <w:autoSpaceDN/>
        <w:bidi w:val="0"/>
        <w:adjustRightInd/>
        <w:snapToGrid/>
        <w:spacing w:line="576" w:lineRule="exact"/>
        <w:textAlignment w:val="auto"/>
        <w:outlineLvl w:val="9"/>
        <w:rPr>
          <w:rFonts w:hint="eastAsia" w:ascii="黑体" w:hAnsi="黑体" w:eastAsia="黑体" w:cs="黑体"/>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均衡推进抽查工作</w:t>
      </w:r>
    </w:p>
    <w:p>
      <w:pPr>
        <w:keepNext w:val="0"/>
        <w:keepLines w:val="0"/>
        <w:pageBreakBefore w:val="0"/>
        <w:widowControl w:val="0"/>
        <w:numPr>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各成员单位要按《2022年度</w:t>
      </w:r>
      <w:r>
        <w:rPr>
          <w:rFonts w:hint="default" w:ascii="Times New Roman" w:hAnsi="Times New Roman" w:eastAsia="仿宋_GB2312" w:cs="Times New Roman"/>
          <w:sz w:val="32"/>
          <w:szCs w:val="32"/>
          <w:lang w:eastAsia="zh-CN"/>
        </w:rPr>
        <w:t>海南州</w:t>
      </w:r>
      <w:r>
        <w:rPr>
          <w:rFonts w:hint="default" w:ascii="Times New Roman" w:hAnsi="Times New Roman" w:eastAsia="仿宋_GB2312" w:cs="Times New Roman"/>
          <w:sz w:val="32"/>
          <w:szCs w:val="32"/>
        </w:rPr>
        <w:t>市场监管领域部门联合“双随机、一公开”抽查计划》规定的时间节点，及时组织开展好抽查工作，切忌随意改变抽查工作时间，务必做到按月均衡实施抽查检查，坚决杜绝集中到第四季度突击式抽查，整个抽查计划原则上于11月20日以前全部结束。同时，各成员单位要及时督促指导</w:t>
      </w:r>
      <w:r>
        <w:rPr>
          <w:rFonts w:hint="default" w:ascii="Times New Roman" w:hAnsi="Times New Roman" w:eastAsia="仿宋_GB2312" w:cs="Times New Roman"/>
          <w:sz w:val="32"/>
          <w:szCs w:val="32"/>
          <w:lang w:eastAsia="zh-CN"/>
        </w:rPr>
        <w:t>各</w:t>
      </w:r>
      <w:r>
        <w:rPr>
          <w:rFonts w:hint="default" w:ascii="Times New Roman" w:hAnsi="Times New Roman" w:eastAsia="仿宋_GB2312" w:cs="Times New Roman"/>
          <w:sz w:val="32"/>
          <w:szCs w:val="32"/>
        </w:rPr>
        <w:t>县对应业务条线开展好“双随机、一公开”抽查工作，做到上下联动。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二</w:t>
      </w:r>
      <w:r>
        <w:rPr>
          <w:rFonts w:hint="eastAsia" w:ascii="黑体" w:hAnsi="黑体" w:eastAsia="黑体" w:cs="黑体"/>
          <w:sz w:val="32"/>
          <w:szCs w:val="32"/>
          <w:lang w:eastAsia="zh-CN"/>
        </w:rPr>
        <w:t>、</w:t>
      </w:r>
      <w:r>
        <w:rPr>
          <w:rFonts w:hint="eastAsia" w:ascii="黑体" w:hAnsi="黑体" w:eastAsia="黑体" w:cs="黑体"/>
          <w:sz w:val="32"/>
          <w:szCs w:val="32"/>
        </w:rPr>
        <w:t>规范</w:t>
      </w:r>
      <w:r>
        <w:rPr>
          <w:rFonts w:hint="eastAsia" w:ascii="黑体" w:hAnsi="黑体" w:eastAsia="黑体" w:cs="黑体"/>
          <w:sz w:val="32"/>
          <w:szCs w:val="32"/>
          <w:lang w:eastAsia="zh-CN"/>
        </w:rPr>
        <w:t>开展</w:t>
      </w:r>
      <w:r>
        <w:rPr>
          <w:rFonts w:hint="eastAsia" w:ascii="黑体" w:hAnsi="黑体" w:eastAsia="黑体" w:cs="黑体"/>
          <w:sz w:val="32"/>
          <w:szCs w:val="32"/>
        </w:rPr>
        <w:t>抽查检查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各成员单位要按相关文件规范的抽查检查程序，通过青海省“双随机、一公开”监管工作平台，扎实开展好“双随机、一公开”抽查工作。</w:t>
      </w:r>
      <w:r>
        <w:rPr>
          <w:rFonts w:hint="default" w:ascii="Times New Roman" w:hAnsi="Times New Roman" w:eastAsia="仿宋_GB2312" w:cs="Times New Roman"/>
          <w:sz w:val="32"/>
          <w:szCs w:val="32"/>
          <w:lang w:eastAsia="zh-CN"/>
        </w:rPr>
        <w:t>不得</w:t>
      </w:r>
      <w:r>
        <w:rPr>
          <w:rFonts w:hint="default" w:ascii="Times New Roman" w:hAnsi="Times New Roman" w:eastAsia="仿宋_GB2312" w:cs="Times New Roman"/>
          <w:sz w:val="32"/>
          <w:szCs w:val="32"/>
        </w:rPr>
        <w:t>随意改变抽查事项、抽查内容、抽查范围、抽查比例等，</w:t>
      </w:r>
      <w:r>
        <w:rPr>
          <w:rFonts w:hint="default" w:ascii="Times New Roman" w:hAnsi="Times New Roman" w:eastAsia="仿宋_GB2312" w:cs="Times New Roman"/>
          <w:sz w:val="32"/>
          <w:szCs w:val="32"/>
          <w:lang w:eastAsia="zh-CN"/>
        </w:rPr>
        <w:t>不得</w:t>
      </w:r>
      <w:r>
        <w:rPr>
          <w:rFonts w:hint="default" w:ascii="Times New Roman" w:hAnsi="Times New Roman" w:eastAsia="仿宋_GB2312" w:cs="Times New Roman"/>
          <w:sz w:val="32"/>
          <w:szCs w:val="32"/>
        </w:rPr>
        <w:t>随意创建计划，如有特殊情况需要进行调整需提前进行报备。真正做到对标要求、从严推进、保障质量。属于高风险企业的必须开展实地检查。检查工作应当填写检查记录表，由被检查对象和执法检查人员签字盖章确认；通过网络核查方式开展检查的，应当由参加检查的两名以上检查人员签字确认，鼓励采取信息化手段当场录入检查结果，并由检查对象当场确认检查结果。在检查结束后的7个工作日内，检查人员应当将检查结果录入监管平台。除不予公开检查结果的特殊情况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各成员单位应当在检查结束后的20个工作日内通过公示系统向社会公示检查结果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对抽查中发现的问题，按照“谁审批、谁监管，谁主管、谁监管”的原则做好后续监管的衔接；对发现的违法违规行为依法查处，涉嫌犯罪的依法移送司法机关。</w:t>
      </w:r>
    </w:p>
    <w:p>
      <w:pPr>
        <w:keepNext w:val="0"/>
        <w:keepLines w:val="0"/>
        <w:pageBreakBefore w:val="0"/>
        <w:widowControl w:val="0"/>
        <w:numPr>
          <w:numId w:val="0"/>
        </w:numPr>
        <w:kinsoku/>
        <w:wordWrap/>
        <w:overflowPunct/>
        <w:topLinePunct w:val="0"/>
        <w:autoSpaceDE/>
        <w:autoSpaceDN/>
        <w:bidi w:val="0"/>
        <w:adjustRightInd/>
        <w:snapToGrid/>
        <w:spacing w:line="576" w:lineRule="exact"/>
        <w:ind w:leftChars="200" w:firstLine="320" w:firstLineChars="100"/>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动态维护“一单两库”</w:t>
      </w:r>
    </w:p>
    <w:p>
      <w:pPr>
        <w:keepNext w:val="0"/>
        <w:keepLines w:val="0"/>
        <w:pageBreakBefore w:val="0"/>
        <w:widowControl w:val="0"/>
        <w:numPr>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成员单位出现执法人员调离或新增等情况的，要及时在双随机系统里进行更新，确保参与双随机执法人员队伍的扩充和有序管理；出现抽查对象已注销或新增等情况的，要及时在双随机系统里进行删除或录入。通过及时更新“一单两库”，切实增强“双随机、一公开”抽查工作的精准性。</w:t>
      </w:r>
    </w:p>
    <w:p>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统筹开展联合抽查</w:t>
      </w:r>
    </w:p>
    <w:p>
      <w:pPr>
        <w:keepNext w:val="0"/>
        <w:keepLines w:val="0"/>
        <w:pageBreakBefore w:val="0"/>
        <w:widowControl w:val="0"/>
        <w:numPr>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部门联合抽查工作，需要部门之间相互协作、相互支持、紧密配合，共同完成各项检查任务。尤其是每项联合抽查计划的发起部门要积极发挥牵头协调作用，及时制定抽查方案等相关牵头工作，其他部门要主动做好配合对接工作，指定专人负责。州市场监管局作为联席会议牵头单位对不按要求报送资料、到期完不成抽查任务或工作落实不力的单位，要及时予以通报。同时，各相关成员单位也要强化内部责任追究，切实形成上下联动、合力推进的工作格局。  </w:t>
      </w:r>
    </w:p>
    <w:p>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实施</w:t>
      </w:r>
      <w:r>
        <w:rPr>
          <w:rFonts w:hint="eastAsia" w:ascii="黑体" w:hAnsi="黑体" w:eastAsia="黑体" w:cs="黑体"/>
          <w:sz w:val="32"/>
          <w:szCs w:val="32"/>
        </w:rPr>
        <w:t>差异化抽查</w:t>
      </w:r>
      <w:r>
        <w:rPr>
          <w:rFonts w:hint="eastAsia" w:ascii="黑体" w:hAnsi="黑体" w:eastAsia="黑体" w:cs="黑体"/>
          <w:sz w:val="32"/>
          <w:szCs w:val="32"/>
          <w:lang w:eastAsia="zh-CN"/>
        </w:rPr>
        <w:t>检查</w:t>
      </w:r>
    </w:p>
    <w:p>
      <w:pPr>
        <w:keepNext w:val="0"/>
        <w:keepLines w:val="0"/>
        <w:pageBreakBefore w:val="0"/>
        <w:widowControl w:val="0"/>
        <w:numPr>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eastAsia="zh-CN"/>
        </w:rPr>
        <w:t>市场监管部门根据依法归集的涉企信息，按照“高、中、低”风险等级完成了风险分类标注，并在随机选取抽查对象时，提供按照高、中、低风险分类比例选填写功能，各成员单位可参考市场监管部门企业风险分类结果，采取增加高风险企业抽查比例和</w:t>
      </w:r>
      <w:r>
        <w:rPr>
          <w:rFonts w:hint="default" w:ascii="Times New Roman" w:hAnsi="Times New Roman" w:eastAsia="仿宋_GB2312" w:cs="Times New Roman"/>
          <w:sz w:val="32"/>
          <w:szCs w:val="32"/>
          <w:lang w:eastAsia="zh-CN"/>
        </w:rPr>
        <w:t>降低低风险企业抽查比例的方式，实施差异化抽查检查。同时，</w:t>
      </w:r>
      <w:r>
        <w:rPr>
          <w:rFonts w:hint="default" w:ascii="Times New Roman" w:hAnsi="Times New Roman" w:eastAsia="仿宋_GB2312" w:cs="Times New Roman"/>
          <w:sz w:val="32"/>
          <w:szCs w:val="32"/>
        </w:rPr>
        <w:t>深入实行包容审慎监管，做到柔性执法。</w:t>
      </w:r>
    </w:p>
    <w:p>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加强部门信息沟通</w:t>
      </w:r>
    </w:p>
    <w:p>
      <w:pPr>
        <w:keepNext w:val="0"/>
        <w:keepLines w:val="0"/>
        <w:pageBreakBefore w:val="0"/>
        <w:widowControl w:val="0"/>
        <w:numPr>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各成员单位要主动与州级牵头部门加强联系沟通，及时交流和反馈情况，尤其是单位分管领导和具体负责“双随机、一公开”工作人员变动后要及时告知牵头部门。同时，要按照牵头部门要求及时上报相关信息，各成员单位要于11月25日前将本部门开展“双随机、一公开”年度工作总结和抽查相关资料报双随机联席会议办公室。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联系人：关却卓玛</w:t>
      </w:r>
      <w:r>
        <w:rPr>
          <w:rFonts w:hint="default" w:ascii="Times New Roman" w:hAnsi="Times New Roman" w:eastAsia="仿宋_GB2312" w:cs="Times New Roman"/>
          <w:sz w:val="32"/>
          <w:szCs w:val="32"/>
          <w:lang w:val="en-US" w:eastAsia="zh-CN"/>
        </w:rPr>
        <w:t xml:space="preserve">  青措卓玛</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电话：</w:t>
      </w:r>
      <w:r>
        <w:rPr>
          <w:rFonts w:hint="default" w:ascii="Times New Roman" w:hAnsi="Times New Roman" w:eastAsia="仿宋_GB2312" w:cs="Times New Roman"/>
          <w:sz w:val="32"/>
          <w:szCs w:val="32"/>
          <w:lang w:val="en-US" w:eastAsia="zh-CN"/>
        </w:rPr>
        <w:t>0974-8520848</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left="1598" w:leftChars="304" w:hanging="960" w:hangingChars="3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附件：</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2022年度海南州市场监管领域</w:t>
      </w:r>
      <w:r>
        <w:rPr>
          <w:rFonts w:hint="default" w:ascii="Times New Roman" w:hAnsi="Times New Roman" w:eastAsia="仿宋_GB2312" w:cs="Times New Roman"/>
          <w:sz w:val="32"/>
          <w:szCs w:val="32"/>
        </w:rPr>
        <w:t>部门联合“双随机、一公</w:t>
      </w:r>
      <w:r>
        <w:rPr>
          <w:rFonts w:hint="default" w:ascii="Times New Roman" w:hAnsi="Times New Roman" w:eastAsia="仿宋_GB2312" w:cs="Times New Roman"/>
          <w:sz w:val="32"/>
          <w:szCs w:val="32"/>
          <w:lang w:eastAsia="zh-CN"/>
        </w:rPr>
        <w:t>开”抽查计划 </w:t>
      </w:r>
    </w:p>
    <w:p>
      <w:pPr>
        <w:keepNext w:val="0"/>
        <w:keepLines w:val="0"/>
        <w:pageBreakBefore w:val="0"/>
        <w:widowControl w:val="0"/>
        <w:kinsoku/>
        <w:wordWrap/>
        <w:overflowPunct/>
        <w:topLinePunct w:val="0"/>
        <w:autoSpaceDE/>
        <w:autoSpaceDN/>
        <w:bidi w:val="0"/>
        <w:adjustRightInd/>
        <w:snapToGrid/>
        <w:spacing w:line="576" w:lineRule="exact"/>
        <w:ind w:left="1598" w:leftChars="304" w:hanging="960" w:hangingChars="3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青海省“双随机、一公开”监管工作平台抽查检查操作流程</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outlineLvl w:val="9"/>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jc w:val="center"/>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color w:val="auto"/>
          <w:sz w:val="32"/>
          <w:szCs w:val="32"/>
          <w:u w:val="none"/>
          <w:lang w:val="en-US" w:eastAsia="zh-CN"/>
        </w:rPr>
        <w:t xml:space="preserve">            海南州市场监督管理局</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9"/>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lang w:val="en-US" w:eastAsia="zh-CN"/>
        </w:rPr>
        <w:t xml:space="preserve">                 2022年7月11日</w:t>
      </w:r>
    </w:p>
    <w:tbl>
      <w:tblPr>
        <w:tblStyle w:val="10"/>
        <w:tblpPr w:leftFromText="180" w:rightFromText="180" w:vertAnchor="text" w:horzAnchor="page" w:tblpX="1756" w:tblpY="955"/>
        <w:tblOverlap w:val="never"/>
        <w:tblW w:w="8778" w:type="dxa"/>
        <w:tblInd w:w="0" w:type="dxa"/>
        <w:tblBorders>
          <w:top w:val="none" w:color="auto" w:sz="0"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108" w:type="dxa"/>
          <w:bottom w:w="0" w:type="dxa"/>
          <w:right w:w="108" w:type="dxa"/>
        </w:tblCellMar>
      </w:tblPr>
      <w:tblGrid>
        <w:gridCol w:w="8778"/>
      </w:tblGrid>
      <w:tr>
        <w:tblPrEx>
          <w:tblBorders>
            <w:top w:val="none" w:color="auto" w:sz="0"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108" w:type="dxa"/>
            <w:bottom w:w="0" w:type="dxa"/>
            <w:right w:w="108" w:type="dxa"/>
          </w:tblCellMar>
        </w:tblPrEx>
        <w:trPr>
          <w:trHeight w:val="555" w:hRule="atLeast"/>
        </w:trPr>
        <w:tc>
          <w:tcPr>
            <w:tcW w:w="8778" w:type="dxa"/>
            <w:tcBorders>
              <w:top w:val="single" w:color="auto" w:sz="8" w:space="0"/>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000000"/>
                <w:spacing w:val="8"/>
                <w:sz w:val="28"/>
                <w:szCs w:val="28"/>
              </w:rPr>
            </w:pPr>
            <w:r>
              <w:rPr>
                <w:rFonts w:hint="default" w:ascii="Times New Roman" w:hAnsi="Times New Roman" w:eastAsia="仿宋_GB2312" w:cs="Times New Roman"/>
                <w:color w:val="000000"/>
                <w:spacing w:val="8"/>
                <w:sz w:val="28"/>
                <w:szCs w:val="28"/>
              </w:rPr>
              <w:t>海南州</w:t>
            </w:r>
            <w:r>
              <w:rPr>
                <w:rFonts w:hint="default" w:ascii="Times New Roman" w:hAnsi="Times New Roman" w:eastAsia="仿宋_GB2312" w:cs="Times New Roman"/>
                <w:color w:val="000000"/>
                <w:spacing w:val="8"/>
                <w:sz w:val="28"/>
                <w:szCs w:val="28"/>
                <w:lang w:eastAsia="zh-CN"/>
              </w:rPr>
              <w:t>市场监督管理局</w:t>
            </w:r>
            <w:r>
              <w:rPr>
                <w:rFonts w:hint="default" w:ascii="Times New Roman" w:hAnsi="Times New Roman" w:eastAsia="仿宋_GB2312" w:cs="Times New Roman"/>
                <w:color w:val="000000"/>
                <w:spacing w:val="8"/>
                <w:sz w:val="28"/>
                <w:szCs w:val="28"/>
              </w:rPr>
              <w:t xml:space="preserve">办公室   </w:t>
            </w:r>
            <w:r>
              <w:rPr>
                <w:rFonts w:hint="default" w:ascii="Times New Roman" w:hAnsi="Times New Roman" w:eastAsia="仿宋_GB2312" w:cs="Times New Roman"/>
                <w:color w:val="000000"/>
                <w:spacing w:val="8"/>
                <w:sz w:val="28"/>
                <w:szCs w:val="28"/>
                <w:lang w:val="en-US" w:eastAsia="zh-CN"/>
              </w:rPr>
              <w:t xml:space="preserve">         2</w:t>
            </w:r>
            <w:r>
              <w:rPr>
                <w:rFonts w:hint="default" w:ascii="Times New Roman" w:hAnsi="Times New Roman" w:eastAsia="仿宋_GB2312" w:cs="Times New Roman"/>
                <w:color w:val="000000"/>
                <w:spacing w:val="8"/>
                <w:sz w:val="28"/>
                <w:szCs w:val="28"/>
              </w:rPr>
              <w:t>0</w:t>
            </w:r>
            <w:r>
              <w:rPr>
                <w:rFonts w:hint="default" w:ascii="Times New Roman" w:hAnsi="Times New Roman" w:eastAsia="仿宋_GB2312" w:cs="Times New Roman"/>
                <w:color w:val="000000"/>
                <w:spacing w:val="8"/>
                <w:sz w:val="28"/>
                <w:szCs w:val="28"/>
                <w:lang w:val="en-US" w:eastAsia="zh-CN"/>
              </w:rPr>
              <w:t>22</w:t>
            </w:r>
            <w:r>
              <w:rPr>
                <w:rFonts w:hint="default" w:ascii="Times New Roman" w:hAnsi="Times New Roman" w:eastAsia="仿宋_GB2312" w:cs="Times New Roman"/>
                <w:color w:val="000000"/>
                <w:spacing w:val="8"/>
                <w:sz w:val="28"/>
                <w:szCs w:val="28"/>
              </w:rPr>
              <w:t>年</w:t>
            </w:r>
            <w:r>
              <w:rPr>
                <w:rFonts w:hint="eastAsia" w:eastAsia="仿宋_GB2312" w:cs="Times New Roman"/>
                <w:color w:val="000000"/>
                <w:spacing w:val="8"/>
                <w:sz w:val="28"/>
                <w:szCs w:val="28"/>
                <w:lang w:val="en-US" w:eastAsia="zh-CN"/>
              </w:rPr>
              <w:t>7</w:t>
            </w:r>
            <w:r>
              <w:rPr>
                <w:rFonts w:hint="default" w:ascii="Times New Roman" w:hAnsi="Times New Roman" w:eastAsia="仿宋_GB2312" w:cs="Times New Roman"/>
                <w:color w:val="000000"/>
                <w:spacing w:val="8"/>
                <w:sz w:val="28"/>
                <w:szCs w:val="28"/>
              </w:rPr>
              <w:t>月</w:t>
            </w:r>
            <w:r>
              <w:rPr>
                <w:rFonts w:hint="eastAsia" w:eastAsia="仿宋_GB2312" w:cs="Times New Roman"/>
                <w:color w:val="000000"/>
                <w:spacing w:val="8"/>
                <w:sz w:val="28"/>
                <w:szCs w:val="28"/>
                <w:lang w:val="en-US" w:eastAsia="zh-CN"/>
              </w:rPr>
              <w:t>11</w:t>
            </w:r>
            <w:r>
              <w:rPr>
                <w:rFonts w:hint="default" w:ascii="Times New Roman" w:hAnsi="Times New Roman" w:eastAsia="仿宋_GB2312" w:cs="Times New Roman"/>
                <w:color w:val="000000"/>
                <w:spacing w:val="8"/>
                <w:sz w:val="28"/>
                <w:szCs w:val="28"/>
              </w:rPr>
              <w:t>日印发</w:t>
            </w:r>
          </w:p>
        </w:tc>
      </w:tr>
    </w:tbl>
    <w:p>
      <w:pPr>
        <w:rPr>
          <w:rFonts w:hint="default"/>
          <w:lang w:eastAsia="zh-CN"/>
        </w:rPr>
      </w:pPr>
    </w:p>
    <w:p>
      <w:pPr>
        <w:rPr>
          <w:rFonts w:hint="eastAsia" w:ascii="黑体" w:hAnsi="黑体" w:eastAsia="黑体" w:cs="黑体"/>
          <w:sz w:val="32"/>
          <w:szCs w:val="32"/>
          <w:lang w:eastAsia="zh-CN"/>
        </w:rPr>
        <w:sectPr>
          <w:footerReference r:id="rId3" w:type="default"/>
          <w:pgSz w:w="11906" w:h="16838"/>
          <w:pgMar w:top="2098" w:right="1474" w:bottom="1984" w:left="1587" w:header="851" w:footer="1417" w:gutter="0"/>
          <w:cols w:space="0" w:num="1"/>
          <w:titlePg/>
          <w:rtlGutter w:val="0"/>
          <w:docGrid w:type="linesAndChars" w:linePitch="590" w:charSpace="-204"/>
        </w:sectPr>
      </w:pPr>
    </w:p>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青海省“双随机、一公开”监管工作平台</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抽查检查操作流程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sz w:val="28"/>
          <w:szCs w:val="28"/>
        </w:rPr>
      </w:pPr>
    </w:p>
    <w:p>
      <w:pPr>
        <w:ind w:firstLine="640" w:firstLineChars="200"/>
        <w:rPr>
          <w:rFonts w:hint="eastAsia" w:ascii="仿宋" w:hAnsi="仿宋" w:eastAsia="仿宋" w:cs="仿宋"/>
          <w:sz w:val="28"/>
          <w:szCs w:val="28"/>
        </w:rPr>
      </w:pPr>
      <w:r>
        <w:rPr>
          <w:rFonts w:hint="eastAsia" w:ascii="黑体" w:hAnsi="黑体" w:eastAsia="黑体" w:cs="黑体"/>
          <w:sz w:val="32"/>
          <w:szCs w:val="32"/>
          <w:lang w:eastAsia="zh-CN"/>
        </w:rPr>
        <w:t>一、</w:t>
      </w:r>
      <w:r>
        <w:rPr>
          <w:rFonts w:hint="eastAsia" w:ascii="黑体" w:hAnsi="黑体" w:eastAsia="黑体" w:cs="黑体"/>
          <w:sz w:val="32"/>
          <w:szCs w:val="32"/>
        </w:rPr>
        <w:t>发起部门操作流程</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1.在“抽查计划管理”模块“抽查计划制定”栏目新增录入具体“年度抽查计划”</w:t>
      </w:r>
      <w:r>
        <w:rPr>
          <w:rFonts w:hint="eastAsia" w:ascii="仿宋" w:hAnsi="仿宋" w:eastAsia="仿宋" w:cs="仿宋"/>
          <w:sz w:val="32"/>
          <w:szCs w:val="32"/>
          <w:lang w:eastAsia="zh-CN"/>
        </w:rPr>
        <w:t>。</w:t>
      </w:r>
    </w:p>
    <w:p>
      <w:pPr>
        <w:rPr>
          <w:rFonts w:hint="eastAsia" w:ascii="宋体" w:hAnsi="宋体" w:eastAsia="宋体"/>
          <w:sz w:val="28"/>
          <w:szCs w:val="28"/>
        </w:rPr>
      </w:pPr>
      <w:r>
        <w:drawing>
          <wp:inline distT="0" distB="0" distL="114300" distR="114300">
            <wp:extent cx="5274310" cy="2052955"/>
            <wp:effectExtent l="0" t="0" r="2540" b="4445"/>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16"/>
                    <a:stretch>
                      <a:fillRect/>
                    </a:stretch>
                  </pic:blipFill>
                  <pic:spPr>
                    <a:xfrm>
                      <a:off x="0" y="0"/>
                      <a:ext cx="5274310" cy="2052955"/>
                    </a:xfrm>
                    <a:prstGeom prst="rect">
                      <a:avLst/>
                    </a:prstGeom>
                    <a:noFill/>
                    <a:ln w="9525">
                      <a:noFill/>
                    </a:ln>
                  </pic:spPr>
                </pic:pic>
              </a:graphicData>
            </a:graphic>
          </wp:inline>
        </w:drawing>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2.在“抽查计划管理”模块“抽查计划制定”栏目新增的具体“年度抽查计划”栏末进入“任务创建”，录入任务信息。</w:t>
      </w:r>
    </w:p>
    <w:p>
      <w:pPr>
        <w:rPr>
          <w:rFonts w:hint="eastAsia" w:ascii="宋体" w:hAnsi="宋体" w:eastAsia="宋体"/>
          <w:sz w:val="28"/>
          <w:szCs w:val="28"/>
        </w:rPr>
      </w:pPr>
      <w:r>
        <w:drawing>
          <wp:inline distT="0" distB="0" distL="114300" distR="114300">
            <wp:extent cx="5274310" cy="1833880"/>
            <wp:effectExtent l="0" t="0" r="2540" b="13970"/>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17"/>
                    <a:stretch>
                      <a:fillRect/>
                    </a:stretch>
                  </pic:blipFill>
                  <pic:spPr>
                    <a:xfrm>
                      <a:off x="0" y="0"/>
                      <a:ext cx="5274310" cy="1833880"/>
                    </a:xfrm>
                    <a:prstGeom prst="rect">
                      <a:avLst/>
                    </a:prstGeom>
                    <a:noFill/>
                    <a:ln w="9525">
                      <a:noFill/>
                    </a:ln>
                  </pic:spPr>
                </pic:pic>
              </a:graphicData>
            </a:graphic>
          </wp:inline>
        </w:drawing>
      </w:r>
    </w:p>
    <w:p>
      <w:pPr>
        <w:ind w:firstLine="640" w:firstLineChars="200"/>
        <w:rPr>
          <w:rFonts w:hint="eastAsia" w:ascii="仿宋" w:hAnsi="仿宋" w:eastAsia="仿宋" w:cs="仿宋"/>
          <w:sz w:val="32"/>
          <w:szCs w:val="32"/>
        </w:rPr>
        <w:sectPr>
          <w:footerReference r:id="rId5" w:type="first"/>
          <w:footerReference r:id="rId4" w:type="default"/>
          <w:pgSz w:w="11906" w:h="16838"/>
          <w:pgMar w:top="2098" w:right="1474" w:bottom="1984" w:left="1587" w:header="851" w:footer="1417" w:gutter="0"/>
          <w:cols w:space="0" w:num="1"/>
          <w:titlePg/>
          <w:rtlGutter w:val="0"/>
          <w:docGrid w:type="linesAndChars" w:linePitch="590" w:charSpace="-204"/>
        </w:sect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点击任务创建（联合检查）建完任务，给任务添加抽检对象，分为手动新增和名录库导入两种方式。</w:t>
      </w:r>
    </w:p>
    <w:p>
      <w:pPr>
        <w:rPr>
          <w:rFonts w:ascii="宋体" w:hAnsi="宋体" w:eastAsia="宋体"/>
          <w:sz w:val="28"/>
          <w:szCs w:val="28"/>
        </w:rPr>
      </w:pPr>
      <w:r>
        <w:drawing>
          <wp:inline distT="0" distB="0" distL="114300" distR="114300">
            <wp:extent cx="5274310" cy="1256665"/>
            <wp:effectExtent l="0" t="0" r="2540" b="635"/>
            <wp:docPr id="2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pic:cNvPicPr>
                      <a:picLocks noChangeAspect="1"/>
                    </pic:cNvPicPr>
                  </pic:nvPicPr>
                  <pic:blipFill>
                    <a:blip r:embed="rId18"/>
                    <a:stretch>
                      <a:fillRect/>
                    </a:stretch>
                  </pic:blipFill>
                  <pic:spPr>
                    <a:xfrm>
                      <a:off x="0" y="0"/>
                      <a:ext cx="5274310" cy="1256665"/>
                    </a:xfrm>
                    <a:prstGeom prst="rect">
                      <a:avLst/>
                    </a:prstGeom>
                    <a:noFill/>
                    <a:ln w="9525">
                      <a:noFill/>
                    </a:ln>
                  </pic:spPr>
                </pic:pic>
              </a:graphicData>
            </a:graphic>
          </wp:inline>
        </w:drawing>
      </w:r>
    </w:p>
    <w:p>
      <w:pPr>
        <w:rPr>
          <w:rFonts w:hint="eastAsia" w:ascii="宋体" w:hAnsi="宋体" w:eastAsia="宋体"/>
          <w:sz w:val="28"/>
          <w:szCs w:val="28"/>
        </w:rPr>
      </w:pPr>
      <w:r>
        <w:drawing>
          <wp:inline distT="0" distB="0" distL="114300" distR="114300">
            <wp:extent cx="5274310" cy="1884680"/>
            <wp:effectExtent l="0" t="0" r="2540" b="1270"/>
            <wp:docPr id="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19"/>
                    <a:stretch>
                      <a:fillRect/>
                    </a:stretch>
                  </pic:blipFill>
                  <pic:spPr>
                    <a:xfrm>
                      <a:off x="0" y="0"/>
                      <a:ext cx="5274310" cy="1884680"/>
                    </a:xfrm>
                    <a:prstGeom prst="rect">
                      <a:avLst/>
                    </a:prstGeom>
                    <a:noFill/>
                    <a:ln w="9525">
                      <a:noFill/>
                    </a:ln>
                  </pic:spPr>
                </pic:pic>
              </a:graphicData>
            </a:graphic>
          </wp:inline>
        </w:drawing>
      </w:r>
    </w:p>
    <w:p>
      <w:pPr>
        <w:rPr>
          <w:rFonts w:hint="eastAsia" w:ascii="宋体" w:hAnsi="宋体" w:eastAsia="宋体"/>
          <w:sz w:val="28"/>
          <w:szCs w:val="28"/>
        </w:rPr>
      </w:pPr>
      <w:r>
        <w:drawing>
          <wp:inline distT="0" distB="0" distL="114300" distR="114300">
            <wp:extent cx="5274310" cy="1530350"/>
            <wp:effectExtent l="0" t="0" r="2540" b="12700"/>
            <wp:docPr id="2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pic:cNvPicPr>
                      <a:picLocks noChangeAspect="1"/>
                    </pic:cNvPicPr>
                  </pic:nvPicPr>
                  <pic:blipFill>
                    <a:blip r:embed="rId20"/>
                    <a:stretch>
                      <a:fillRect/>
                    </a:stretch>
                  </pic:blipFill>
                  <pic:spPr>
                    <a:xfrm>
                      <a:off x="0" y="0"/>
                      <a:ext cx="5274310" cy="1530350"/>
                    </a:xfrm>
                    <a:prstGeom prst="rect">
                      <a:avLst/>
                    </a:prstGeom>
                    <a:noFill/>
                    <a:ln w="9525">
                      <a:noFill/>
                    </a:ln>
                  </pic:spPr>
                </pic:pic>
              </a:graphicData>
            </a:graphic>
          </wp:inline>
        </w:drawing>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3.在“在部门间双随机联合抽查”模块“检查对象抽取”栏目，根据创建的任务，按照抽查比例随机抽取检查对象</w:t>
      </w:r>
      <w:r>
        <w:rPr>
          <w:rFonts w:hint="eastAsia" w:ascii="仿宋" w:hAnsi="仿宋" w:eastAsia="仿宋" w:cs="仿宋"/>
          <w:sz w:val="32"/>
          <w:szCs w:val="32"/>
          <w:lang w:eastAsia="zh-CN"/>
        </w:rPr>
        <w:t>。</w:t>
      </w:r>
    </w:p>
    <w:p>
      <w:pPr>
        <w:sectPr>
          <w:footerReference r:id="rId7" w:type="first"/>
          <w:footerReference r:id="rId6" w:type="default"/>
          <w:pgSz w:w="11906" w:h="16838"/>
          <w:pgMar w:top="2098" w:right="1474" w:bottom="1984" w:left="1587" w:header="851" w:footer="1417" w:gutter="0"/>
          <w:cols w:space="0" w:num="1"/>
          <w:rtlGutter w:val="0"/>
          <w:docGrid w:type="linesAndChars" w:linePitch="590" w:charSpace="-204"/>
        </w:sectPr>
      </w:pPr>
    </w:p>
    <w:p>
      <w:pPr>
        <w:rPr>
          <w:rFonts w:ascii="宋体" w:hAnsi="宋体" w:eastAsia="宋体"/>
          <w:sz w:val="28"/>
          <w:szCs w:val="28"/>
        </w:rPr>
      </w:pPr>
      <w:r>
        <w:drawing>
          <wp:inline distT="0" distB="0" distL="114300" distR="114300">
            <wp:extent cx="5274310" cy="2073910"/>
            <wp:effectExtent l="0" t="0" r="2540" b="2540"/>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21"/>
                    <a:stretch>
                      <a:fillRect/>
                    </a:stretch>
                  </pic:blipFill>
                  <pic:spPr>
                    <a:xfrm>
                      <a:off x="0" y="0"/>
                      <a:ext cx="5274310" cy="2073910"/>
                    </a:xfrm>
                    <a:prstGeom prst="rect">
                      <a:avLst/>
                    </a:prstGeom>
                    <a:noFill/>
                    <a:ln w="9525">
                      <a:noFill/>
                    </a:ln>
                  </pic:spPr>
                </pic:pic>
              </a:graphicData>
            </a:graphic>
          </wp:inline>
        </w:drawing>
      </w:r>
    </w:p>
    <w:p>
      <w:pPr>
        <w:rPr>
          <w:rFonts w:hint="eastAsia" w:ascii="宋体" w:hAnsi="宋体" w:eastAsia="宋体"/>
          <w:sz w:val="28"/>
          <w:szCs w:val="28"/>
        </w:rPr>
      </w:pPr>
      <w:r>
        <w:drawing>
          <wp:inline distT="0" distB="0" distL="114300" distR="114300">
            <wp:extent cx="5274310" cy="2614930"/>
            <wp:effectExtent l="0" t="0" r="2540" b="13970"/>
            <wp:docPr id="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pic:cNvPicPr>
                      <a:picLocks noChangeAspect="1"/>
                    </pic:cNvPicPr>
                  </pic:nvPicPr>
                  <pic:blipFill>
                    <a:blip r:embed="rId22"/>
                    <a:stretch>
                      <a:fillRect/>
                    </a:stretch>
                  </pic:blipFill>
                  <pic:spPr>
                    <a:xfrm>
                      <a:off x="0" y="0"/>
                      <a:ext cx="5274310" cy="2614930"/>
                    </a:xfrm>
                    <a:prstGeom prst="rect">
                      <a:avLst/>
                    </a:prstGeom>
                    <a:noFill/>
                    <a:ln w="9525">
                      <a:noFill/>
                    </a:ln>
                  </pic:spPr>
                </pic:pic>
              </a:graphicData>
            </a:graphic>
          </wp:inline>
        </w:drawing>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4.在“在部门间双随机联合抽查”模块“执法检查人员选派”栏目随机匹配执法检查人员</w:t>
      </w:r>
      <w:r>
        <w:rPr>
          <w:rFonts w:hint="eastAsia" w:ascii="仿宋" w:hAnsi="仿宋" w:eastAsia="仿宋" w:cs="仿宋"/>
          <w:sz w:val="32"/>
          <w:szCs w:val="32"/>
          <w:lang w:eastAsia="zh-CN"/>
        </w:rPr>
        <w:t>。涉及需要基层</w:t>
      </w:r>
      <w:r>
        <w:rPr>
          <w:rFonts w:hint="eastAsia" w:ascii="仿宋" w:hAnsi="仿宋" w:eastAsia="仿宋" w:cs="仿宋"/>
          <w:sz w:val="32"/>
          <w:szCs w:val="32"/>
        </w:rPr>
        <w:t>配合部门</w:t>
      </w:r>
      <w:r>
        <w:rPr>
          <w:rFonts w:hint="eastAsia" w:ascii="仿宋" w:hAnsi="仿宋" w:eastAsia="仿宋" w:cs="仿宋"/>
          <w:sz w:val="32"/>
          <w:szCs w:val="32"/>
          <w:lang w:eastAsia="zh-CN"/>
        </w:rPr>
        <w:t>检查的，由发起部门协调同级配合部门通过线下确认检查对象对应的检查部门，</w:t>
      </w:r>
      <w:r>
        <w:rPr>
          <w:rFonts w:hint="eastAsia" w:ascii="仿宋" w:hAnsi="仿宋" w:eastAsia="仿宋" w:cs="仿宋"/>
          <w:sz w:val="32"/>
          <w:szCs w:val="32"/>
        </w:rPr>
        <w:t>由发起部门统一进行执法检查人员选派，人员选派完成后发起部门应告知配合部门相关市场主体匹配信息名单。</w:t>
      </w:r>
    </w:p>
    <w:p>
      <w:pPr>
        <w:sectPr>
          <w:footerReference r:id="rId8" w:type="default"/>
          <w:pgSz w:w="11906" w:h="16838"/>
          <w:pgMar w:top="2098" w:right="1474" w:bottom="1984" w:left="1587" w:header="851" w:footer="1417" w:gutter="0"/>
          <w:cols w:space="0" w:num="1"/>
          <w:rtlGutter w:val="0"/>
          <w:docGrid w:type="linesAndChars" w:linePitch="590" w:charSpace="-204"/>
        </w:sectPr>
      </w:pPr>
    </w:p>
    <w:p>
      <w:pPr>
        <w:rPr>
          <w:rFonts w:ascii="宋体" w:hAnsi="宋体" w:eastAsia="宋体"/>
          <w:sz w:val="28"/>
          <w:szCs w:val="28"/>
        </w:rPr>
      </w:pPr>
      <w:r>
        <w:drawing>
          <wp:inline distT="0" distB="0" distL="114300" distR="114300">
            <wp:extent cx="5274310" cy="2244090"/>
            <wp:effectExtent l="0" t="0" r="2540" b="3810"/>
            <wp:docPr id="3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pic:cNvPicPr>
                      <a:picLocks noChangeAspect="1"/>
                    </pic:cNvPicPr>
                  </pic:nvPicPr>
                  <pic:blipFill>
                    <a:blip r:embed="rId23"/>
                    <a:stretch>
                      <a:fillRect/>
                    </a:stretch>
                  </pic:blipFill>
                  <pic:spPr>
                    <a:xfrm>
                      <a:off x="0" y="0"/>
                      <a:ext cx="5274310" cy="2244090"/>
                    </a:xfrm>
                    <a:prstGeom prst="rect">
                      <a:avLst/>
                    </a:prstGeom>
                    <a:noFill/>
                    <a:ln w="9525">
                      <a:noFill/>
                    </a:ln>
                  </pic:spPr>
                </pic:pic>
              </a:graphicData>
            </a:graphic>
          </wp:inline>
        </w:drawing>
      </w:r>
    </w:p>
    <w:p>
      <w:pPr>
        <w:rPr>
          <w:rFonts w:hint="eastAsia" w:ascii="宋体" w:hAnsi="宋体" w:eastAsia="宋体"/>
          <w:sz w:val="28"/>
          <w:szCs w:val="28"/>
        </w:rPr>
      </w:pPr>
      <w:r>
        <w:drawing>
          <wp:inline distT="0" distB="0" distL="114300" distR="114300">
            <wp:extent cx="5274310" cy="2075180"/>
            <wp:effectExtent l="0" t="0" r="2540" b="1270"/>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24"/>
                    <a:stretch>
                      <a:fillRect/>
                    </a:stretch>
                  </pic:blipFill>
                  <pic:spPr>
                    <a:xfrm>
                      <a:off x="0" y="0"/>
                      <a:ext cx="5274310" cy="2075180"/>
                    </a:xfrm>
                    <a:prstGeom prst="rect">
                      <a:avLst/>
                    </a:prstGeom>
                    <a:noFill/>
                    <a:ln w="9525">
                      <a:noFill/>
                    </a:ln>
                  </pic:spPr>
                </pic:pic>
              </a:graphicData>
            </a:graphic>
          </wp:inline>
        </w:drawing>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5.在“在部门间双随机联合抽查”模块“检查结果录入”模块，将检查结果录入到检查对象名下。</w:t>
      </w:r>
    </w:p>
    <w:p>
      <w:pPr>
        <w:rPr>
          <w:rFonts w:ascii="宋体" w:hAnsi="宋体" w:eastAsia="宋体"/>
          <w:sz w:val="28"/>
          <w:szCs w:val="28"/>
        </w:rPr>
      </w:pPr>
      <w:r>
        <w:drawing>
          <wp:inline distT="0" distB="0" distL="114300" distR="114300">
            <wp:extent cx="5274310" cy="1873885"/>
            <wp:effectExtent l="0" t="0" r="2540" b="12065"/>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25"/>
                    <a:stretch>
                      <a:fillRect/>
                    </a:stretch>
                  </pic:blipFill>
                  <pic:spPr>
                    <a:xfrm>
                      <a:off x="0" y="0"/>
                      <a:ext cx="5274310" cy="1873885"/>
                    </a:xfrm>
                    <a:prstGeom prst="rect">
                      <a:avLst/>
                    </a:prstGeom>
                    <a:noFill/>
                    <a:ln w="9525">
                      <a:noFill/>
                    </a:ln>
                  </pic:spPr>
                </pic:pic>
              </a:graphicData>
            </a:graphic>
          </wp:inline>
        </w:drawing>
      </w:r>
    </w:p>
    <w:p>
      <w:pPr>
        <w:sectPr>
          <w:footerReference r:id="rId9" w:type="default"/>
          <w:pgSz w:w="11906" w:h="16838"/>
          <w:pgMar w:top="2098" w:right="1474" w:bottom="1984" w:left="1587" w:header="851" w:footer="1417" w:gutter="0"/>
          <w:cols w:space="0" w:num="1"/>
          <w:rtlGutter w:val="0"/>
          <w:docGrid w:type="linesAndChars" w:linePitch="590" w:charSpace="-204"/>
        </w:sectPr>
      </w:pPr>
    </w:p>
    <w:p>
      <w:pPr>
        <w:rPr>
          <w:rFonts w:ascii="宋体" w:hAnsi="宋体" w:eastAsia="宋体"/>
          <w:sz w:val="28"/>
          <w:szCs w:val="28"/>
        </w:rPr>
      </w:pPr>
      <w:r>
        <w:drawing>
          <wp:inline distT="0" distB="0" distL="114300" distR="114300">
            <wp:extent cx="5274310" cy="1837690"/>
            <wp:effectExtent l="0" t="0" r="2540" b="10160"/>
            <wp:docPr id="3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pic:cNvPicPr>
                      <a:picLocks noChangeAspect="1"/>
                    </pic:cNvPicPr>
                  </pic:nvPicPr>
                  <pic:blipFill>
                    <a:blip r:embed="rId26"/>
                    <a:stretch>
                      <a:fillRect/>
                    </a:stretch>
                  </pic:blipFill>
                  <pic:spPr>
                    <a:xfrm>
                      <a:off x="0" y="0"/>
                      <a:ext cx="5274310" cy="1837690"/>
                    </a:xfrm>
                    <a:prstGeom prst="rect">
                      <a:avLst/>
                    </a:prstGeom>
                    <a:noFill/>
                    <a:ln w="9525">
                      <a:noFill/>
                    </a:ln>
                  </pic:spPr>
                </pic:pic>
              </a:graphicData>
            </a:graphic>
          </wp:inline>
        </w:drawing>
      </w:r>
    </w:p>
    <w:p>
      <w:pPr>
        <w:rPr>
          <w:rFonts w:hint="eastAsia" w:ascii="宋体" w:hAnsi="宋体" w:eastAsia="宋体"/>
          <w:sz w:val="28"/>
          <w:szCs w:val="28"/>
        </w:rPr>
      </w:pPr>
      <w:r>
        <w:drawing>
          <wp:inline distT="0" distB="0" distL="114300" distR="114300">
            <wp:extent cx="5274310" cy="2216150"/>
            <wp:effectExtent l="0" t="0" r="2540" b="12700"/>
            <wp:docPr id="3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pic:cNvPicPr>
                      <a:picLocks noChangeAspect="1"/>
                    </pic:cNvPicPr>
                  </pic:nvPicPr>
                  <pic:blipFill>
                    <a:blip r:embed="rId27"/>
                    <a:stretch>
                      <a:fillRect/>
                    </a:stretch>
                  </pic:blipFill>
                  <pic:spPr>
                    <a:xfrm>
                      <a:off x="0" y="0"/>
                      <a:ext cx="5274310" cy="2216150"/>
                    </a:xfrm>
                    <a:prstGeom prst="rect">
                      <a:avLst/>
                    </a:prstGeom>
                    <a:noFill/>
                    <a:ln w="9525">
                      <a:noFill/>
                    </a:ln>
                  </pic:spPr>
                </pic:pic>
              </a:graphicData>
            </a:graphic>
          </wp:inline>
        </w:drawing>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6.对发现问题的市场主体，在“在部门间双随机联合抽查”模块“处理结果报送”栏目，录入相关信息</w:t>
      </w:r>
      <w:r>
        <w:rPr>
          <w:rFonts w:hint="eastAsia" w:ascii="仿宋" w:hAnsi="仿宋" w:eastAsia="仿宋" w:cs="仿宋"/>
          <w:sz w:val="32"/>
          <w:szCs w:val="32"/>
          <w:lang w:eastAsia="zh-CN"/>
        </w:rPr>
        <w:t>。</w:t>
      </w:r>
    </w:p>
    <w:p>
      <w:pPr>
        <w:rPr>
          <w:rFonts w:ascii="宋体" w:hAnsi="宋体" w:eastAsia="宋体"/>
          <w:sz w:val="28"/>
          <w:szCs w:val="28"/>
        </w:rPr>
      </w:pPr>
      <w:r>
        <w:drawing>
          <wp:inline distT="0" distB="0" distL="114300" distR="114300">
            <wp:extent cx="5274310" cy="1746885"/>
            <wp:effectExtent l="0" t="0" r="2540" b="5715"/>
            <wp:docPr id="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pic:cNvPicPr>
                      <a:picLocks noChangeAspect="1"/>
                    </pic:cNvPicPr>
                  </pic:nvPicPr>
                  <pic:blipFill>
                    <a:blip r:embed="rId28"/>
                    <a:stretch>
                      <a:fillRect/>
                    </a:stretch>
                  </pic:blipFill>
                  <pic:spPr>
                    <a:xfrm>
                      <a:off x="0" y="0"/>
                      <a:ext cx="5274310" cy="1746885"/>
                    </a:xfrm>
                    <a:prstGeom prst="rect">
                      <a:avLst/>
                    </a:prstGeom>
                    <a:noFill/>
                    <a:ln w="9525">
                      <a:noFill/>
                    </a:ln>
                  </pic:spPr>
                </pic:pic>
              </a:graphicData>
            </a:graphic>
          </wp:inline>
        </w:drawing>
      </w:r>
    </w:p>
    <w:p>
      <w:pPr>
        <w:sectPr>
          <w:footerReference r:id="rId10" w:type="default"/>
          <w:pgSz w:w="11906" w:h="16838"/>
          <w:pgMar w:top="2098" w:right="1474" w:bottom="1984" w:left="1587" w:header="851" w:footer="1417" w:gutter="0"/>
          <w:cols w:space="0" w:num="1"/>
          <w:rtlGutter w:val="0"/>
          <w:docGrid w:type="linesAndChars" w:linePitch="590" w:charSpace="-204"/>
        </w:sectPr>
      </w:pPr>
    </w:p>
    <w:p>
      <w:pPr>
        <w:rPr>
          <w:rFonts w:hint="eastAsia" w:ascii="宋体" w:hAnsi="宋体" w:eastAsia="宋体"/>
          <w:sz w:val="28"/>
          <w:szCs w:val="28"/>
        </w:rPr>
      </w:pPr>
      <w:r>
        <w:drawing>
          <wp:inline distT="0" distB="0" distL="114300" distR="114300">
            <wp:extent cx="5274310" cy="2585085"/>
            <wp:effectExtent l="0" t="0" r="2540" b="5715"/>
            <wp:docPr id="3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pic:cNvPicPr>
                      <a:picLocks noChangeAspect="1"/>
                    </pic:cNvPicPr>
                  </pic:nvPicPr>
                  <pic:blipFill>
                    <a:blip r:embed="rId29"/>
                    <a:stretch>
                      <a:fillRect/>
                    </a:stretch>
                  </pic:blipFill>
                  <pic:spPr>
                    <a:xfrm>
                      <a:off x="0" y="0"/>
                      <a:ext cx="5274310" cy="2585085"/>
                    </a:xfrm>
                    <a:prstGeom prst="rect">
                      <a:avLst/>
                    </a:prstGeom>
                    <a:noFill/>
                    <a:ln w="9525">
                      <a:noFill/>
                    </a:ln>
                  </pic:spPr>
                </pic:pic>
              </a:graphicData>
            </a:graphic>
          </wp:inline>
        </w:drawing>
      </w:r>
    </w:p>
    <w:p>
      <w:pPr>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配合部门操作流程</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1.在“在部门间双随机联合抽查”模块“检查结果录入”模块，将检查结果录入到检查对象名下。</w:t>
      </w:r>
    </w:p>
    <w:p>
      <w:pPr>
        <w:rPr>
          <w:rFonts w:ascii="宋体" w:hAnsi="宋体" w:eastAsia="宋体"/>
          <w:sz w:val="28"/>
          <w:szCs w:val="28"/>
        </w:rPr>
      </w:pPr>
      <w:r>
        <w:drawing>
          <wp:inline distT="0" distB="0" distL="114300" distR="114300">
            <wp:extent cx="5274310" cy="2277110"/>
            <wp:effectExtent l="0" t="0" r="2540" b="8890"/>
            <wp:docPr id="3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pic:cNvPicPr>
                      <a:picLocks noChangeAspect="1"/>
                    </pic:cNvPicPr>
                  </pic:nvPicPr>
                  <pic:blipFill>
                    <a:blip r:embed="rId25"/>
                    <a:stretch>
                      <a:fillRect/>
                    </a:stretch>
                  </pic:blipFill>
                  <pic:spPr>
                    <a:xfrm>
                      <a:off x="0" y="0"/>
                      <a:ext cx="5274310" cy="2277110"/>
                    </a:xfrm>
                    <a:prstGeom prst="rect">
                      <a:avLst/>
                    </a:prstGeom>
                    <a:noFill/>
                    <a:ln w="9525">
                      <a:noFill/>
                    </a:ln>
                  </pic:spPr>
                </pic:pic>
              </a:graphicData>
            </a:graphic>
          </wp:inline>
        </w:drawing>
      </w:r>
    </w:p>
    <w:p>
      <w:pPr>
        <w:sectPr>
          <w:footerReference r:id="rId11" w:type="default"/>
          <w:pgSz w:w="11906" w:h="16838"/>
          <w:pgMar w:top="2098" w:right="1474" w:bottom="1984" w:left="1587" w:header="851" w:footer="1417" w:gutter="0"/>
          <w:cols w:space="0" w:num="1"/>
          <w:rtlGutter w:val="0"/>
          <w:docGrid w:type="linesAndChars" w:linePitch="590" w:charSpace="-204"/>
        </w:sectPr>
      </w:pPr>
    </w:p>
    <w:p>
      <w:pPr>
        <w:rPr>
          <w:rFonts w:ascii="宋体" w:hAnsi="宋体" w:eastAsia="宋体"/>
          <w:sz w:val="28"/>
          <w:szCs w:val="28"/>
        </w:rPr>
      </w:pPr>
      <w:r>
        <w:drawing>
          <wp:inline distT="0" distB="0" distL="114300" distR="114300">
            <wp:extent cx="5274310" cy="1837690"/>
            <wp:effectExtent l="0" t="0" r="2540" b="10160"/>
            <wp:docPr id="3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pic:cNvPicPr>
                      <a:picLocks noChangeAspect="1"/>
                    </pic:cNvPicPr>
                  </pic:nvPicPr>
                  <pic:blipFill>
                    <a:blip r:embed="rId26"/>
                    <a:stretch>
                      <a:fillRect/>
                    </a:stretch>
                  </pic:blipFill>
                  <pic:spPr>
                    <a:xfrm>
                      <a:off x="0" y="0"/>
                      <a:ext cx="5274310" cy="1837690"/>
                    </a:xfrm>
                    <a:prstGeom prst="rect">
                      <a:avLst/>
                    </a:prstGeom>
                    <a:noFill/>
                    <a:ln w="9525">
                      <a:noFill/>
                    </a:ln>
                  </pic:spPr>
                </pic:pic>
              </a:graphicData>
            </a:graphic>
          </wp:inline>
        </w:drawing>
      </w:r>
    </w:p>
    <w:p>
      <w:pPr>
        <w:rPr>
          <w:rFonts w:hint="eastAsia" w:ascii="宋体" w:hAnsi="宋体" w:eastAsia="宋体"/>
          <w:sz w:val="28"/>
          <w:szCs w:val="28"/>
        </w:rPr>
      </w:pPr>
      <w:r>
        <w:drawing>
          <wp:inline distT="0" distB="0" distL="114300" distR="114300">
            <wp:extent cx="5274310" cy="2216150"/>
            <wp:effectExtent l="0" t="0" r="2540" b="12700"/>
            <wp:docPr id="4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pic:cNvPicPr>
                      <a:picLocks noChangeAspect="1"/>
                    </pic:cNvPicPr>
                  </pic:nvPicPr>
                  <pic:blipFill>
                    <a:blip r:embed="rId27"/>
                    <a:stretch>
                      <a:fillRect/>
                    </a:stretch>
                  </pic:blipFill>
                  <pic:spPr>
                    <a:xfrm>
                      <a:off x="0" y="0"/>
                      <a:ext cx="5274310" cy="2216150"/>
                    </a:xfrm>
                    <a:prstGeom prst="rect">
                      <a:avLst/>
                    </a:prstGeom>
                    <a:noFill/>
                    <a:ln w="9525">
                      <a:noFill/>
                    </a:ln>
                  </pic:spPr>
                </pic:pic>
              </a:graphicData>
            </a:graphic>
          </wp:inline>
        </w:drawing>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2.对发现问题的市场主体，在“在部门间双随机联合抽查”模块“处理结果报送”栏目，录入相关信息。</w:t>
      </w:r>
    </w:p>
    <w:p>
      <w:pPr>
        <w:rPr>
          <w:rFonts w:ascii="宋体" w:hAnsi="宋体" w:eastAsia="宋体"/>
          <w:sz w:val="28"/>
          <w:szCs w:val="28"/>
        </w:rPr>
      </w:pPr>
      <w:r>
        <w:drawing>
          <wp:inline distT="0" distB="0" distL="114300" distR="114300">
            <wp:extent cx="5274310" cy="2379345"/>
            <wp:effectExtent l="0" t="0" r="2540" b="1905"/>
            <wp:docPr id="4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pic:cNvPicPr>
                      <a:picLocks noChangeAspect="1"/>
                    </pic:cNvPicPr>
                  </pic:nvPicPr>
                  <pic:blipFill>
                    <a:blip r:embed="rId28"/>
                    <a:stretch>
                      <a:fillRect/>
                    </a:stretch>
                  </pic:blipFill>
                  <pic:spPr>
                    <a:xfrm>
                      <a:off x="0" y="0"/>
                      <a:ext cx="5274310" cy="2379345"/>
                    </a:xfrm>
                    <a:prstGeom prst="rect">
                      <a:avLst/>
                    </a:prstGeom>
                    <a:noFill/>
                    <a:ln w="9525">
                      <a:noFill/>
                    </a:ln>
                  </pic:spPr>
                </pic:pic>
              </a:graphicData>
            </a:graphic>
          </wp:inline>
        </w:drawing>
      </w:r>
    </w:p>
    <w:p>
      <w:pPr>
        <w:sectPr>
          <w:footerReference r:id="rId12" w:type="default"/>
          <w:pgSz w:w="11906" w:h="16838"/>
          <w:pgMar w:top="2098" w:right="1474" w:bottom="1984" w:left="1587" w:header="851" w:footer="1417" w:gutter="0"/>
          <w:cols w:space="0" w:num="1"/>
          <w:rtlGutter w:val="0"/>
          <w:docGrid w:type="linesAndChars" w:linePitch="590" w:charSpace="-204"/>
        </w:sectPr>
      </w:pPr>
    </w:p>
    <w:p>
      <w:pPr>
        <w:rPr>
          <w:rFonts w:hint="eastAsia" w:ascii="宋体" w:hAnsi="宋体" w:eastAsia="宋体"/>
          <w:sz w:val="28"/>
          <w:szCs w:val="28"/>
        </w:rPr>
      </w:pPr>
      <w:r>
        <w:drawing>
          <wp:inline distT="0" distB="0" distL="114300" distR="114300">
            <wp:extent cx="5274310" cy="2585085"/>
            <wp:effectExtent l="0" t="0" r="2540" b="5715"/>
            <wp:docPr id="4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pic:cNvPicPr>
                      <a:picLocks noChangeAspect="1"/>
                    </pic:cNvPicPr>
                  </pic:nvPicPr>
                  <pic:blipFill>
                    <a:blip r:embed="rId29"/>
                    <a:stretch>
                      <a:fillRect/>
                    </a:stretch>
                  </pic:blipFill>
                  <pic:spPr>
                    <a:xfrm>
                      <a:off x="0" y="0"/>
                      <a:ext cx="5274310" cy="2585085"/>
                    </a:xfrm>
                    <a:prstGeom prst="rect">
                      <a:avLst/>
                    </a:prstGeom>
                    <a:noFill/>
                    <a:ln w="9525">
                      <a:noFill/>
                    </a:ln>
                  </pic:spPr>
                </pic:pic>
              </a:graphicData>
            </a:graphic>
          </wp:inline>
        </w:drawing>
      </w:r>
    </w:p>
    <w:p>
      <w:pPr>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部门抽查事项操作流程</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1.在“一单两库”模块“随机抽查事项清单”栏目对应抽查事项中上传“抽查指引”。</w:t>
      </w:r>
    </w:p>
    <w:p>
      <w:pPr>
        <w:rPr>
          <w:rFonts w:hint="eastAsia" w:ascii="宋体" w:hAnsi="宋体" w:eastAsia="宋体"/>
          <w:sz w:val="28"/>
          <w:szCs w:val="28"/>
        </w:rPr>
      </w:pPr>
      <w:r>
        <w:drawing>
          <wp:inline distT="0" distB="0" distL="114300" distR="114300">
            <wp:extent cx="5274310" cy="2124710"/>
            <wp:effectExtent l="0" t="0" r="2540" b="8890"/>
            <wp:docPr id="4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pic:cNvPicPr>
                      <a:picLocks noChangeAspect="1"/>
                    </pic:cNvPicPr>
                  </pic:nvPicPr>
                  <pic:blipFill>
                    <a:blip r:embed="rId30"/>
                    <a:stretch>
                      <a:fillRect/>
                    </a:stretch>
                  </pic:blipFill>
                  <pic:spPr>
                    <a:xfrm>
                      <a:off x="0" y="0"/>
                      <a:ext cx="5274310" cy="2124710"/>
                    </a:xfrm>
                    <a:prstGeom prst="rect">
                      <a:avLst/>
                    </a:prstGeom>
                    <a:noFill/>
                    <a:ln w="9525">
                      <a:noFill/>
                    </a:ln>
                  </pic:spPr>
                </pic:pic>
              </a:graphicData>
            </a:graphic>
          </wp:inline>
        </w:drawing>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2.在“一单两库”模块“检查对象名录库”栏目新增2022年度检查对象库，全量录入或者导入2022年应检查对象。</w:t>
      </w:r>
    </w:p>
    <w:p>
      <w:pPr>
        <w:sectPr>
          <w:footerReference r:id="rId13" w:type="default"/>
          <w:pgSz w:w="11906" w:h="16838"/>
          <w:pgMar w:top="2098" w:right="1474" w:bottom="1984" w:left="1587" w:header="851" w:footer="1417" w:gutter="0"/>
          <w:cols w:space="0" w:num="1"/>
          <w:rtlGutter w:val="0"/>
          <w:docGrid w:type="linesAndChars" w:linePitch="590" w:charSpace="-204"/>
        </w:sectPr>
      </w:pPr>
    </w:p>
    <w:p>
      <w:pPr>
        <w:rPr>
          <w:rFonts w:hint="eastAsia" w:ascii="宋体" w:hAnsi="宋体" w:eastAsia="宋体"/>
          <w:sz w:val="28"/>
          <w:szCs w:val="28"/>
        </w:rPr>
      </w:pPr>
      <w:r>
        <w:drawing>
          <wp:inline distT="0" distB="0" distL="114300" distR="114300">
            <wp:extent cx="5274310" cy="2021205"/>
            <wp:effectExtent l="0" t="0" r="2540" b="17145"/>
            <wp:docPr id="4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pic:cNvPicPr>
                      <a:picLocks noChangeAspect="1"/>
                    </pic:cNvPicPr>
                  </pic:nvPicPr>
                  <pic:blipFill>
                    <a:blip r:embed="rId31"/>
                    <a:stretch>
                      <a:fillRect/>
                    </a:stretch>
                  </pic:blipFill>
                  <pic:spPr>
                    <a:xfrm>
                      <a:off x="0" y="0"/>
                      <a:ext cx="5274310" cy="2021205"/>
                    </a:xfrm>
                    <a:prstGeom prst="rect">
                      <a:avLst/>
                    </a:prstGeom>
                    <a:noFill/>
                    <a:ln w="9525">
                      <a:noFill/>
                    </a:ln>
                  </pic:spPr>
                </pic:pic>
              </a:graphicData>
            </a:graphic>
          </wp:inline>
        </w:drawing>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3.在“一单两库”模块“执法检查人员名录库”栏目，按要求完成执法检查人员调整和信息补录。</w:t>
      </w:r>
    </w:p>
    <w:p>
      <w:pPr>
        <w:pStyle w:val="2"/>
        <w:rPr>
          <w:rFonts w:hint="default"/>
          <w:lang w:eastAsia="zh-CN"/>
        </w:rPr>
      </w:pPr>
      <w:r>
        <w:drawing>
          <wp:inline distT="0" distB="0" distL="114300" distR="114300">
            <wp:extent cx="5274310" cy="2196465"/>
            <wp:effectExtent l="0" t="0" r="2540" b="13335"/>
            <wp:docPr id="4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pic:cNvPicPr>
                      <a:picLocks noChangeAspect="1"/>
                    </pic:cNvPicPr>
                  </pic:nvPicPr>
                  <pic:blipFill>
                    <a:blip r:embed="rId32"/>
                    <a:stretch>
                      <a:fillRect/>
                    </a:stretch>
                  </pic:blipFill>
                  <pic:spPr>
                    <a:xfrm>
                      <a:off x="0" y="0"/>
                      <a:ext cx="5274310" cy="2196465"/>
                    </a:xfrm>
                    <a:prstGeom prst="rect">
                      <a:avLst/>
                    </a:prstGeom>
                    <a:noFill/>
                    <a:ln w="9525">
                      <a:noFill/>
                    </a:ln>
                  </pic:spPr>
                </pic:pic>
              </a:graphicData>
            </a:graphic>
          </wp:inline>
        </w:drawing>
      </w:r>
    </w:p>
    <w:sectPr>
      <w:footerReference r:id="rId14" w:type="default"/>
      <w:pgSz w:w="11906" w:h="16838"/>
      <w:pgMar w:top="2098" w:right="1474" w:bottom="1984" w:left="1587" w:header="851" w:footer="1417" w:gutter="0"/>
      <w:cols w:space="0" w:num="1"/>
      <w:rtlGutter w:val="0"/>
      <w:docGrid w:type="linesAndChars" w:linePitch="590" w:charSpace="-2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MingLiU">
    <w:panose1 w:val="02020500000000000000"/>
    <w:charset w:val="88"/>
    <w:family w:val="roman"/>
    <w:pitch w:val="default"/>
    <w:sig w:usb0="A00002FF" w:usb1="28CFFCFA" w:usb2="00000016" w:usb3="00000000" w:csb0="0010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left="420" w:leftChars="200" w:right="420" w:rightChars="200"/>
                            <w:rPr>
                              <w:rStyle w:val="8"/>
                              <w:rFonts w:ascii="宋体" w:hAnsi="宋体" w:eastAsia="宋体"/>
                              <w:sz w:val="28"/>
                              <w:szCs w:val="28"/>
                            </w:rPr>
                          </w:pPr>
                          <w:r>
                            <w:rPr>
                              <w:rStyle w:val="8"/>
                              <w:rFonts w:hint="eastAsia" w:ascii="宋体" w:hAnsi="宋体" w:eastAsia="宋体"/>
                              <w:sz w:val="28"/>
                              <w:szCs w:val="28"/>
                            </w:rPr>
                            <w:t xml:space="preserve">－ </w:t>
                          </w:r>
                          <w:r>
                            <w:rPr>
                              <w:rStyle w:val="8"/>
                              <w:rFonts w:ascii="宋体" w:hAnsi="宋体" w:eastAsia="宋体"/>
                              <w:sz w:val="28"/>
                              <w:szCs w:val="28"/>
                            </w:rPr>
                            <w:fldChar w:fldCharType="begin"/>
                          </w:r>
                          <w:r>
                            <w:rPr>
                              <w:rStyle w:val="8"/>
                              <w:rFonts w:ascii="宋体" w:hAnsi="宋体" w:eastAsia="宋体"/>
                              <w:sz w:val="28"/>
                              <w:szCs w:val="28"/>
                            </w:rPr>
                            <w:instrText xml:space="preserve"> PAGE </w:instrText>
                          </w:r>
                          <w:r>
                            <w:rPr>
                              <w:rStyle w:val="8"/>
                              <w:rFonts w:ascii="宋体" w:hAnsi="宋体" w:eastAsia="宋体"/>
                              <w:sz w:val="28"/>
                              <w:szCs w:val="28"/>
                            </w:rPr>
                            <w:fldChar w:fldCharType="separate"/>
                          </w:r>
                          <w:r>
                            <w:rPr>
                              <w:rStyle w:val="8"/>
                              <w:rFonts w:ascii="宋体" w:hAnsi="宋体" w:eastAsia="宋体"/>
                              <w:sz w:val="28"/>
                              <w:szCs w:val="28"/>
                            </w:rPr>
                            <w:t>26</w:t>
                          </w:r>
                          <w:r>
                            <w:rPr>
                              <w:rStyle w:val="8"/>
                              <w:rFonts w:ascii="宋体" w:hAnsi="宋体" w:eastAsia="宋体"/>
                              <w:sz w:val="28"/>
                              <w:szCs w:val="28"/>
                            </w:rPr>
                            <w:fldChar w:fldCharType="end"/>
                          </w:r>
                          <w:r>
                            <w:rPr>
                              <w:rStyle w:val="8"/>
                              <w:rFonts w:ascii="宋体" w:hAnsi="宋体" w:eastAsia="宋体"/>
                              <w:sz w:val="28"/>
                              <w:szCs w:val="28"/>
                            </w:rPr>
                            <w:t xml:space="preserve"> </w:t>
                          </w:r>
                          <w:r>
                            <w:rPr>
                              <w:rStyle w:val="8"/>
                              <w:rFonts w:hint="eastAsia" w:ascii="宋体" w:hAnsi="宋体" w:eastAsia="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4"/>
                      <w:ind w:left="420" w:leftChars="200" w:right="420" w:rightChars="200"/>
                      <w:rPr>
                        <w:rStyle w:val="8"/>
                        <w:rFonts w:ascii="宋体" w:hAnsi="宋体" w:eastAsia="宋体"/>
                        <w:sz w:val="28"/>
                        <w:szCs w:val="28"/>
                      </w:rPr>
                    </w:pPr>
                    <w:r>
                      <w:rPr>
                        <w:rStyle w:val="8"/>
                        <w:rFonts w:hint="eastAsia" w:ascii="宋体" w:hAnsi="宋体" w:eastAsia="宋体"/>
                        <w:sz w:val="28"/>
                        <w:szCs w:val="28"/>
                      </w:rPr>
                      <w:t xml:space="preserve">－ </w:t>
                    </w:r>
                    <w:r>
                      <w:rPr>
                        <w:rStyle w:val="8"/>
                        <w:rFonts w:ascii="宋体" w:hAnsi="宋体" w:eastAsia="宋体"/>
                        <w:sz w:val="28"/>
                        <w:szCs w:val="28"/>
                      </w:rPr>
                      <w:fldChar w:fldCharType="begin"/>
                    </w:r>
                    <w:r>
                      <w:rPr>
                        <w:rStyle w:val="8"/>
                        <w:rFonts w:ascii="宋体" w:hAnsi="宋体" w:eastAsia="宋体"/>
                        <w:sz w:val="28"/>
                        <w:szCs w:val="28"/>
                      </w:rPr>
                      <w:instrText xml:space="preserve"> PAGE </w:instrText>
                    </w:r>
                    <w:r>
                      <w:rPr>
                        <w:rStyle w:val="8"/>
                        <w:rFonts w:ascii="宋体" w:hAnsi="宋体" w:eastAsia="宋体"/>
                        <w:sz w:val="28"/>
                        <w:szCs w:val="28"/>
                      </w:rPr>
                      <w:fldChar w:fldCharType="separate"/>
                    </w:r>
                    <w:r>
                      <w:rPr>
                        <w:rStyle w:val="8"/>
                        <w:rFonts w:ascii="宋体" w:hAnsi="宋体" w:eastAsia="宋体"/>
                        <w:sz w:val="28"/>
                        <w:szCs w:val="28"/>
                      </w:rPr>
                      <w:t>26</w:t>
                    </w:r>
                    <w:r>
                      <w:rPr>
                        <w:rStyle w:val="8"/>
                        <w:rFonts w:ascii="宋体" w:hAnsi="宋体" w:eastAsia="宋体"/>
                        <w:sz w:val="28"/>
                        <w:szCs w:val="28"/>
                      </w:rPr>
                      <w:fldChar w:fldCharType="end"/>
                    </w:r>
                    <w:r>
                      <w:rPr>
                        <w:rStyle w:val="8"/>
                        <w:rFonts w:ascii="宋体" w:hAnsi="宋体" w:eastAsia="宋体"/>
                        <w:sz w:val="28"/>
                        <w:szCs w:val="28"/>
                      </w:rPr>
                      <w:t xml:space="preserve"> </w:t>
                    </w:r>
                    <w:r>
                      <w:rPr>
                        <w:rStyle w:val="8"/>
                        <w:rFonts w:hint="eastAsia" w:ascii="宋体" w:hAnsi="宋体" w:eastAsia="宋体"/>
                        <w:sz w:val="28"/>
                        <w:szCs w:val="28"/>
                      </w:rPr>
                      <w:t>－</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0BF9AE"/>
    <w:multiLevelType w:val="singleLevel"/>
    <w:tmpl w:val="F80BF9AE"/>
    <w:lvl w:ilvl="0" w:tentative="0">
      <w:start w:val="4"/>
      <w:numFmt w:val="chineseCounting"/>
      <w:suff w:val="nothing"/>
      <w:lvlText w:val="%1、"/>
      <w:lvlJc w:val="left"/>
      <w:rPr>
        <w:rFonts w:hint="eastAsia"/>
      </w:rPr>
    </w:lvl>
  </w:abstractNum>
  <w:abstractNum w:abstractNumId="1">
    <w:nsid w:val="732609AA"/>
    <w:multiLevelType w:val="singleLevel"/>
    <w:tmpl w:val="732609A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295"/>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DE4156"/>
    <w:rsid w:val="18CD2BC7"/>
    <w:rsid w:val="19340E25"/>
    <w:rsid w:val="1A513601"/>
    <w:rsid w:val="1CE962DF"/>
    <w:rsid w:val="302A71EB"/>
    <w:rsid w:val="30DE4156"/>
    <w:rsid w:val="40425648"/>
    <w:rsid w:val="40F25EBD"/>
    <w:rsid w:val="45F47EFB"/>
    <w:rsid w:val="69195E6E"/>
    <w:rsid w:val="6A5223CD"/>
    <w:rsid w:val="70A56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3">
    <w:name w:val="index 6"/>
    <w:basedOn w:val="1"/>
    <w:next w:val="1"/>
    <w:qFormat/>
    <w:uiPriority w:val="0"/>
    <w:pPr>
      <w:ind w:left="2100"/>
    </w:pPr>
    <w:rPr>
      <w:rFonts w:ascii="Calibri" w:hAnsi="Calibri" w:eastAsia="宋体" w:cs="宋体"/>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8">
    <w:name w:val="page number"/>
    <w:basedOn w:val="7"/>
    <w:semiHidden/>
    <w:unhideWhenUsed/>
    <w:qFormat/>
    <w:uiPriority w:val="99"/>
  </w:style>
  <w:style w:type="character" w:styleId="9">
    <w:name w:val="Hyperlink"/>
    <w:basedOn w:val="7"/>
    <w:qFormat/>
    <w:uiPriority w:val="0"/>
    <w:rPr>
      <w:color w:val="0000FF"/>
      <w:u w:val="single"/>
    </w:rPr>
  </w:style>
  <w:style w:type="paragraph" w:customStyle="1" w:styleId="11">
    <w:name w:val="Body text|1"/>
    <w:qFormat/>
    <w:uiPriority w:val="0"/>
    <w:pPr>
      <w:widowControl w:val="0"/>
      <w:spacing w:line="360" w:lineRule="auto"/>
      <w:ind w:firstLine="400"/>
      <w:jc w:val="both"/>
    </w:pPr>
    <w:rPr>
      <w:rFonts w:ascii="宋体" w:hAnsi="宋体" w:eastAsia="宋体" w:cs="宋体"/>
      <w:kern w:val="2"/>
      <w:sz w:val="30"/>
      <w:szCs w:val="30"/>
      <w:lang w:val="zh-TW" w:eastAsia="zh-TW" w:bidi="zh-TW"/>
    </w:rPr>
  </w:style>
  <w:style w:type="paragraph" w:customStyle="1" w:styleId="12">
    <w:name w:val="列出段落1"/>
    <w:basedOn w:val="1"/>
    <w:qFormat/>
    <w:uiPriority w:val="99"/>
    <w:pPr>
      <w:ind w:firstLine="420" w:firstLineChars="200"/>
    </w:pPr>
    <w:rPr>
      <w:rFonts w:ascii="Calibri" w:hAnsi="Calibri" w:eastAsia="宋体" w:cs="Times New Roman"/>
      <w:sz w:val="21"/>
      <w:szCs w:val="22"/>
    </w:rPr>
  </w:style>
  <w:style w:type="paragraph" w:customStyle="1" w:styleId="13">
    <w:name w:val="MSG_EN_FONT_STYLE_NAME_TEMPLATE_ROLE_NUMBER MSG_EN_FONT_STYLE_NAME_BY_ROLE_TEXT 2"/>
    <w:basedOn w:val="1"/>
    <w:qFormat/>
    <w:uiPriority w:val="99"/>
    <w:pPr>
      <w:shd w:val="clear" w:color="auto" w:fill="FFFFFF"/>
      <w:spacing w:before="620" w:after="1640" w:line="300" w:lineRule="exact"/>
      <w:jc w:val="center"/>
    </w:pPr>
    <w:rPr>
      <w:rFonts w:ascii="PMingLiU" w:eastAsia="PMingLiU" w:cs="PMingLiU"/>
      <w:spacing w:val="30"/>
      <w:sz w:val="30"/>
      <w:szCs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footer" Target="foot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6454</Words>
  <Characters>6622</Characters>
  <Lines>0</Lines>
  <Paragraphs>0</Paragraphs>
  <TotalTime>27</TotalTime>
  <ScaleCrop>false</ScaleCrop>
  <LinksUpToDate>false</LinksUpToDate>
  <CharactersWithSpaces>6747</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2022-03-29T01:13:00Z</dcterms:created>
  <dc:creator>力奇</dc:creator>
  <cp:lastModifiedBy>Administrator</cp:lastModifiedBy>
  <cp:lastPrinted>2022-07-13T03:54:43Z</cp:lastPrinted>
  <dcterms:modified xsi:type="dcterms:W3CDTF">2022-07-13T04:05:59Z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B82217B81D704C8A933F4CBD7BAD25AC</vt:lpwstr>
  </property>
</Properties>
</file>